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Ludovic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r w:rsidR="008043A5" w:rsidRPr="00AE70FA">
        <w:t>Aurélien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Cassandre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Yoav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r w:rsidR="004A26B3" w:rsidRPr="00AE70FA">
        <w:rPr>
          <w:lang w:val="fr-FR"/>
        </w:rPr>
        <w:t>Integrated Mycobacterial Pathogenomics</w:t>
      </w:r>
      <w:r w:rsidRPr="00AE70FA">
        <w:t>, Institut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To be confirmed</w:t>
      </w:r>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Biological Resources (ICAReB), </w:t>
      </w:r>
      <w:r w:rsidR="008043A5" w:rsidRPr="00AE70FA">
        <w:t>Institut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r w:rsidR="00D530AB" w:rsidRPr="00AE70FA">
        <w:t>Institut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To be confirmed</w:t>
      </w:r>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To be confirmed</w:t>
      </w:r>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09AB844E"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w:t>
      </w:r>
      <w:r w:rsidR="00C4418F">
        <w:t xml:space="preserve">putatively resistant </w:t>
      </w:r>
      <w:r w:rsidRPr="00AE70FA">
        <w:t xml:space="preserve">individuals </w:t>
      </w:r>
      <w:r w:rsidR="00C4418F">
        <w:t xml:space="preserve">diagnosed </w:t>
      </w:r>
      <w:r w:rsidR="0029366D" w:rsidRPr="00AE70FA">
        <w:t xml:space="preserve">with latent TB and from </w:t>
      </w:r>
      <w:r w:rsidR="00C4418F">
        <w:t xml:space="preserve">putatively susceptible </w:t>
      </w:r>
      <w:r w:rsidR="0029366D" w:rsidRPr="00AE70FA">
        <w:t>individuals</w:t>
      </w:r>
      <w:r w:rsidRPr="00AE70FA">
        <w:t xml:space="preserve"> </w:t>
      </w:r>
      <w:r w:rsidR="00C4418F">
        <w:t xml:space="preserve">that had recovered from a past episode of active </w:t>
      </w:r>
      <w:r w:rsidRPr="00AE70FA">
        <w:t>TB</w:t>
      </w:r>
      <w:r w:rsidR="0029366D" w:rsidRPr="00AE70FA">
        <w:t>. We</w:t>
      </w:r>
      <w:r w:rsidRPr="00AE70FA">
        <w:t xml:space="preserve"> measured genome-wide gene expression levels</w:t>
      </w:r>
      <w:r w:rsidR="00AF41AF">
        <w:t xml:space="preserve"> in infected and non-</w:t>
      </w:r>
      <w:r w:rsidR="005772EF" w:rsidRPr="00AE70FA">
        <w:t>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w:t>
      </w:r>
      <w:r w:rsidR="0028467D">
        <w:t>By intersecting the gene expression and GWAS data</w:t>
      </w:r>
      <w:r w:rsidR="00F54680" w:rsidRPr="00AE70FA">
        <w:t xml:space="preserve">,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\cite{</w:t>
      </w:r>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\cite{</w:t>
      </w:r>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w:t>
      </w:r>
      <w:r w:rsidR="00167586" w:rsidRPr="00AE70FA">
        <w:lastRenderedPageBreak/>
        <w:t>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state, that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transcriptome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lastRenderedPageBreak/>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using a processing pipeline designed to minimize the introduction of unwanted technical variation</w:t>
      </w:r>
      <w:r w:rsidR="00B735B3" w:rsidRPr="00AE70FA">
        <w:t xml:space="preserve"> (Supplementary Fig. \ref{fig:</w:t>
      </w:r>
      <w:r w:rsidR="00916D78" w:rsidRPr="00AE70FA">
        <w:t>process</w:t>
      </w:r>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\ref{fig:gene</w:t>
      </w:r>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 xml:space="preserve">\ref{fig:heat-all}, \ref{fig:heat-filt}, </w:t>
      </w:r>
      <w:r w:rsidR="0095638B" w:rsidRPr="00AE70FA">
        <w:t xml:space="preserve">\ref{fig:outliers}), and check for confounding batch effects (Supplementary </w:t>
      </w:r>
      <w:r w:rsidR="00BB5723" w:rsidRPr="00AE70FA">
        <w:t>Fig.</w:t>
      </w:r>
      <w:r w:rsidR="00DF6DA3" w:rsidRPr="00AE70FA">
        <w:t xml:space="preserve"> \ref{fig:batch</w:t>
      </w:r>
      <w:r w:rsidR="0095638B" w:rsidRPr="00AE70FA">
        <w:t>}</w:t>
      </w:r>
      <w:r w:rsidR="00DF6DA3" w:rsidRPr="00AE70FA">
        <w:t>, \ref{fig:infection}</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\ref{</w:t>
      </w:r>
      <w:r w:rsidR="00C27B68" w:rsidRPr="00AE70FA">
        <w:t>fig</w:t>
      </w:r>
      <w:r w:rsidR="000633DD" w:rsidRPr="00AE70FA">
        <w:t>:outliers}).</w:t>
      </w:r>
    </w:p>
    <w:p w14:paraId="4F62D271" w14:textId="77777777" w:rsidR="00E81F3B" w:rsidRPr="00AE70FA" w:rsidRDefault="00E81F3B" w:rsidP="00A53E2F"/>
    <w:p w14:paraId="1D3014FE" w14:textId="0BD6BEE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\ref{eq:limma}</w:t>
      </w:r>
      <w:r w:rsidR="000D7056" w:rsidRPr="00AE70FA">
        <w:t>)</w:t>
      </w:r>
      <w:r w:rsidR="00C25F28" w:rsidRPr="00AE70FA">
        <w:t>.</w:t>
      </w:r>
      <w:r w:rsidR="0077498F" w:rsidRPr="00AE70FA">
        <w:t xml:space="preserve"> As expected, there was a strong response to infection with MTB in both resistant and susceptible individuals (Supplementary Fig. \ref{fig:limma-supp}).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\ref{fig:limma}).</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w:t>
      </w:r>
      <w:r w:rsidR="007C3A12">
        <w:t xml:space="preserve"> at a</w:t>
      </w:r>
      <w:r w:rsidR="00600649" w:rsidRPr="00AE70FA">
        <w:t xml:space="preserve"> q-value of 10%.</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\includegraphics[width=</w:t>
      </w:r>
      <w:r w:rsidR="002D4662" w:rsidRPr="00AE70FA">
        <w:t>\linewidth</w:t>
      </w:r>
      <w:r w:rsidRPr="00AE70FA">
        <w:t>]{</w:t>
      </w:r>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\caption{</w:t>
      </w:r>
    </w:p>
    <w:p w14:paraId="0B9724D7" w14:textId="0E229EDB" w:rsidR="00697A68" w:rsidRPr="00AE70FA" w:rsidRDefault="003E2289" w:rsidP="00697A68">
      <w:r w:rsidRPr="00AE70FA">
        <w:t xml:space="preserve">Differential expression analysis.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\label{fig:limma}</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0ED30394"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\ref{fig:gwas}</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\ref{fig:gwas-supp}</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 \ref{fig:gwas}</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 \ref{fig:gwas}</w:t>
      </w:r>
      <w:r w:rsidR="001079AE">
        <w:t>d</w:t>
      </w:r>
      <w:r w:rsidR="001079AE" w:rsidRPr="00AE70FA">
        <w:t>)</w:t>
      </w:r>
      <w:r w:rsidR="001079AE">
        <w:t xml:space="preserve">, effect of treatment in resistant individuals </w:t>
      </w:r>
      <w:r w:rsidR="001079AE" w:rsidRPr="00AE70FA">
        <w:t>(Fig. \ref{fig:gwas}</w:t>
      </w:r>
      <w:r w:rsidR="001079AE">
        <w:t>e</w:t>
      </w:r>
      <w:r w:rsidR="001079AE" w:rsidRPr="00AE70FA">
        <w:t>)</w:t>
      </w:r>
      <w:r w:rsidR="001079AE">
        <w:t xml:space="preserve">, effect of treatment in susceptible individuals </w:t>
      </w:r>
      <w:r w:rsidR="001079AE" w:rsidRPr="00AE70FA">
        <w:t>(Fig. \ref{fig:gwas}</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\ref{fig:gwas}</w:t>
      </w:r>
      <w:r w:rsidR="00F55ADC">
        <w:t>b</w:t>
      </w:r>
      <w:r w:rsidR="00AA13FE">
        <w:t>cdef</w:t>
      </w:r>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\includegraphics[width=\linewidth]{../</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\caption{</w:t>
      </w:r>
    </w:p>
    <w:p w14:paraId="26B6D740" w14:textId="07428132" w:rsidR="00754DDA" w:rsidRPr="00AE70FA" w:rsidRDefault="00F04D3D" w:rsidP="00F04D3D">
      <w:r w:rsidRPr="00AE70FA">
        <w:t xml:space="preserve">Comparison of differential expression and </w:t>
      </w:r>
      <w:r w:rsidR="00611E44">
        <w:t>TB susceptibility</w:t>
      </w:r>
      <w:r w:rsidR="00F77F7F" w:rsidRPr="00AE70FA">
        <w:t xml:space="preserve"> </w:t>
      </w:r>
      <w:r w:rsidRPr="00AE70FA">
        <w:t>GWAS results. (a</w:t>
      </w:r>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\cite{LangoAllen2010}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r w:rsidR="00C406A0">
        <w:t>c-f</w:t>
      </w:r>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\label{fig:gwas}</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42B7D25B"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\ref{fig:limma}ac)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 xml:space="preserve">infected DCs.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\ref{fig:classifier}</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45EACD06"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w:t>
      </w:r>
      <w:r w:rsidR="007C3E09" w:rsidRPr="00AE70FA">
        <w:lastRenderedPageBreak/>
        <w:t>data sets available</w:t>
      </w:r>
      <w:r w:rsidR="00D34D37">
        <w:t xml:space="preserve"> (see </w:t>
      </w:r>
      <w:r w:rsidR="00D34D37" w:rsidRPr="00AE70FA">
        <w:t>Supplementary Fig. \ref</w:t>
      </w:r>
      <w:r w:rsidR="00D34D37" w:rsidRPr="00D34D37">
        <w:t>{fig:class-svm-thuong}</w:t>
      </w:r>
      <w:r w:rsidR="00D34D37">
        <w:t xml:space="preserve"> for the results of applying the classifier to a </w:t>
      </w:r>
      <w:r w:rsidR="00812667">
        <w:t>non-ideal</w:t>
      </w:r>
      <w:r w:rsidR="00D34D37">
        <w:t xml:space="preserve"> data set which measured gene expression in macrophages</w:t>
      </w:r>
      <w:r w:rsidR="00812667">
        <w:t xml:space="preserve"> from a small number of individuals</w:t>
      </w:r>
      <w:r w:rsidR="00D34D37">
        <w:t xml:space="preserve"> \cite{Thuong2008})</w:t>
      </w:r>
      <w:r w:rsidR="007C3E09" w:rsidRPr="00AE70FA">
        <w:t>.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r w:rsidR="00AA52A6" w:rsidRPr="00AE70FA">
        <w:t>,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\ref{fig:classifier}b)</w:t>
      </w:r>
      <w:r w:rsidR="007C3E09" w:rsidRPr="00AE70FA">
        <w:t xml:space="preserve">. </w:t>
      </w:r>
      <w:r w:rsidR="007D1C14">
        <w:t xml:space="preserve">Adjusting for the PPV obtained from the training set (~71%), our model predicted that ~7.7% of the healthy individuals were susceptible. </w:t>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\begin{figure}[ht]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\includegraphics[width=\linewidth]{../figure/classifier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\caption{</w:t>
      </w:r>
    </w:p>
    <w:p w14:paraId="76A0968A" w14:textId="21EE4EE6" w:rsidR="000824C6" w:rsidRPr="00AE70FA" w:rsidRDefault="000824C6" w:rsidP="000824C6">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lastRenderedPageBreak/>
        <w:t>\label{fig:classifier}</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4738FBB1"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\ref{fig:limma-supp}).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\ref{fig:limma}</w:t>
      </w:r>
      <w:r w:rsidR="00CA5C54" w:rsidRPr="00AE70FA">
        <w:t>)</w:t>
      </w:r>
      <w:r w:rsidR="00B155AF" w:rsidRPr="00AE70FA">
        <w:t>.</w:t>
      </w:r>
      <w:r w:rsidR="009D3352" w:rsidRPr="00AE70FA">
        <w:t xml:space="preserve"> This suggests that the differences in the transcriptomes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have converged to the same gene regulatory network</w:t>
      </w:r>
      <w:r w:rsidR="0095339F">
        <w:t xml:space="preserve">, </w:t>
      </w:r>
      <w:r w:rsidR="009B31C3">
        <w:t>presumably</w:t>
      </w:r>
      <w:r w:rsidR="009D3352" w:rsidRPr="00AE70FA">
        <w:t xml:space="preserve"> to fight the infection</w:t>
      </w:r>
      <w:r w:rsidR="00FA1282">
        <w:t xml:space="preserve"> (note 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ED434E">
        <w:t>;</w:t>
      </w:r>
      <w:r w:rsidR="00FA1282">
        <w:t xml:space="preserve"> Supplementary Fig. \ref{fig:</w:t>
      </w:r>
      <w:r w:rsidR="00794F80">
        <w:t>variance</w:t>
      </w:r>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\cite{Tailleux2008}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r w:rsidR="0043225D" w:rsidRPr="00AE70FA">
        <w:t>phagolysosomal</w:t>
      </w:r>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r w:rsidR="000D7346" w:rsidRPr="00AE70FA">
        <w:t>autophag</w:t>
      </w:r>
      <w:r w:rsidR="00A840AE" w:rsidRPr="00AE70FA">
        <w:t>osome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w:t>
      </w:r>
      <w:r w:rsidR="00D74321" w:rsidRPr="00AE70FA">
        <w:lastRenderedPageBreak/>
        <w:t xml:space="preserve">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subunit of the proton transporter responsible for acidifying phagolysosomes</w:t>
      </w:r>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1131DAAA"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w:t>
      </w:r>
      <w:r w:rsidR="00EB619D">
        <w:t>-</w:t>
      </w:r>
      <w:r w:rsidR="00DF37B2" w:rsidRPr="00AE70FA">
        <w:t>infected</w:t>
      </w:r>
      <w:r w:rsidRPr="00AE70FA">
        <w:t xml:space="preserve"> innate immune cells isolated from </w:t>
      </w:r>
      <w:r w:rsidR="001909FF" w:rsidRPr="00AE70FA">
        <w:t>individuals</w:t>
      </w:r>
      <w:r w:rsidRPr="00AE70FA">
        <w:t xml:space="preserve"> known to be </w:t>
      </w:r>
      <w:r w:rsidR="00547D42">
        <w:t xml:space="preserve">putatively </w:t>
      </w:r>
      <w:r w:rsidRPr="00AE70FA">
        <w:t>susceptible to MTB</w:t>
      </w:r>
      <w:r w:rsidR="001909FF" w:rsidRPr="00AE70FA">
        <w:t xml:space="preserve"> (Thuong et al., 2008)</w:t>
      </w:r>
      <w:r w:rsidRPr="00AE70FA">
        <w:t xml:space="preserve">. However, there </w:t>
      </w:r>
      <w:r w:rsidR="00BA21AF" w:rsidRPr="00AE70FA">
        <w:t>were</w:t>
      </w:r>
      <w:r w:rsidRPr="00AE70FA">
        <w:t xml:space="preserve"> substantial differences between our study and that of Thuong et al., 2008 \cite{Thuong2008}. </w:t>
      </w:r>
      <w:r w:rsidR="005A1670" w:rsidRPr="00AE70FA">
        <w:t xml:space="preserve">First, they </w:t>
      </w:r>
      <w:r w:rsidR="00B773AA" w:rsidRPr="00AE70FA">
        <w:t xml:space="preserve">derived </w:t>
      </w:r>
      <w:r w:rsidR="005A1670" w:rsidRPr="00AE70FA">
        <w:t xml:space="preserve">and infected macrophages, the primary target host cell in which MTB resides; whereas, we </w:t>
      </w:r>
      <w:r w:rsidR="00AA6A1E">
        <w:t xml:space="preserve">derived and </w:t>
      </w:r>
      <w:r w:rsidR="005A1670" w:rsidRPr="00AE70FA">
        <w:t>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r w:rsidR="00C339D0">
        <w:t xml:space="preserve"> </w:t>
      </w:r>
      <w:r w:rsidR="00AA6A1E">
        <w:t xml:space="preserve">Third, they measured gene expression with microarrays; whereas, we used RNA-sequencing. </w:t>
      </w:r>
      <w:r w:rsidR="00C339D0">
        <w:t xml:space="preserve">Considering the substantial </w:t>
      </w:r>
      <w:r w:rsidR="00AA6A1E">
        <w:t>technical differences between the methods used and the biological differences</w:t>
      </w:r>
      <w:r w:rsidR="00C339D0">
        <w:t xml:space="preserve"> between DCs and macrophages \cite{</w:t>
      </w:r>
      <w:r w:rsidR="00424FE9" w:rsidRPr="00424FE9">
        <w:t>Chaussabel</w:t>
      </w:r>
      <w:r w:rsidR="00424FE9">
        <w:t>2003</w:t>
      </w:r>
      <w:r w:rsidR="00424FE9" w:rsidRPr="00424FE9">
        <w:t>,</w:t>
      </w:r>
      <w:r w:rsidR="00C339D0">
        <w:t xml:space="preserve">Tailleux2008}, unsurprisingly our classifier was unable to identify the susceptible individuals from </w:t>
      </w:r>
      <w:r w:rsidR="00C339D0" w:rsidRPr="00AE70FA">
        <w:t>Thuong</w:t>
      </w:r>
      <w:r w:rsidR="00C339D0">
        <w:t xml:space="preserve"> et al., 2008 \cite{Thuong2008} (</w:t>
      </w:r>
      <w:r w:rsidR="00C339D0" w:rsidRPr="00AE70FA">
        <w:t>Supplementary Fig. \ref</w:t>
      </w:r>
      <w:r w:rsidR="00C339D0" w:rsidRPr="00D34D37">
        <w:t>{fig:class-svm-thuong}</w:t>
      </w:r>
      <w:r w:rsidR="00C339D0">
        <w:t>).</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\ref{fig:gwas})</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xml:space="preserve">, </w:t>
      </w:r>
      <w:r w:rsidR="009F7E77" w:rsidRPr="00AE70FA">
        <w:lastRenderedPageBreak/>
        <w:t>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CBB3CB7"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r w:rsidR="00F43875" w:rsidRPr="00AE70FA">
        <w:t>genes which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\cite{Miller1992}</w:t>
      </w:r>
      <w:r w:rsidR="003662A4" w:rsidRPr="00AE70FA">
        <w:t xml:space="preserve">. In our study, it was upregulated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upregulated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upregulated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\cite{Sudhof2004}</w:t>
      </w:r>
      <w:r w:rsidR="002C3253" w:rsidRPr="00AE70FA">
        <w:t xml:space="preserve">. </w:t>
      </w:r>
      <w:r w:rsidR="003D2DAB" w:rsidRPr="00AE70FA">
        <w:t xml:space="preserve">In our study, it was downregulated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upregulated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(eQTLs)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eQTL post-infection but not pre-infection, which we called MTB-specific eQTL</w:t>
      </w:r>
      <w:r w:rsidR="00967637">
        <w:t>s</w:t>
      </w:r>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1599C860" w:rsidR="00D74CB1" w:rsidRPr="00AE70FA" w:rsidRDefault="0045091B" w:rsidP="000763D9">
      <w:r w:rsidRPr="00AE70FA">
        <w:lastRenderedPageBreak/>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most effective or to monitor the effectiveness of a treatment regimen</w:t>
      </w:r>
      <w:r w:rsidR="00A2522B" w:rsidRPr="00AE70FA">
        <w:t xml:space="preserve"> \cite{Maertzdorf2015}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 which is why we emphasize</w:t>
      </w:r>
      <w:r w:rsidR="001E624B">
        <w:t>d sensitivity over specificity.</w:t>
      </w:r>
    </w:p>
    <w:p w14:paraId="600EF027" w14:textId="77777777" w:rsidR="00D74CB1" w:rsidRPr="00AE70FA" w:rsidRDefault="00D74CB1" w:rsidP="000763D9"/>
    <w:p w14:paraId="57DD008D" w14:textId="41FD5B78"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4" w:name="methods"/>
      <w:bookmarkEnd w:id="3"/>
      <w:r w:rsidRPr="00AE70FA">
        <w:t>Methods</w:t>
      </w:r>
      <w:bookmarkStart w:id="5" w:name="references"/>
      <w:bookmarkEnd w:id="4"/>
    </w:p>
    <w:p w14:paraId="26A46CB2" w14:textId="77777777" w:rsidR="00A00EA4" w:rsidRPr="00AE70FA" w:rsidRDefault="00A00EA4" w:rsidP="0053091A">
      <w:pPr>
        <w:pStyle w:val="Heading2"/>
      </w:pPr>
      <w:r w:rsidRPr="00AE70FA">
        <w:t>Ethics Statement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written </w:t>
      </w:r>
      <w:r w:rsidR="002D2802" w:rsidRPr="00AE70FA">
        <w:rPr>
          <w:lang w:val="fr-FR"/>
        </w:rPr>
        <w:lastRenderedPageBreak/>
        <w:t>informed consent in accordance with the Declaration of Helsinki principles. Peripheral human blood was collected from patients at ICAReB platform of Institut Pasteur Paris and at the Centre for Infectious Disease Prevention, University hospital Caen. The Protocol has been approved by French Ethical Committee (CPP North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by the Institutional Review Boards of the University of Chicago (10-504-B) and the Institut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\cite{Barreiro2012}.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Ficoll-Paque centrifugation, extracted monocytes via CD14 positive selection, and differentiated the monocytes into dendritic cells (DCs) by culturing them for 5 days in RPMI 1640 (Invitrogen) supplemented with 10% heat-inactivated FCS (Dutscher), L-glutamine (Invitrogen), GM-CSF (20 ng/mL; Immunotools), and IL-4 (20 ng/mL; Immunotools).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Qiagen miRNeasy Kit and prepared sequencing libraries using the Illumina TruSeq Kit. </w:t>
      </w:r>
      <w:r w:rsidR="0058693C" w:rsidRPr="00AE70FA">
        <w:t xml:space="preserve">We sent the master mixes to the University of Chicago Functional Genomics Facility to be sequenced on an Illumina HiSeq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\ref{fig:process})</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Subread </w:t>
      </w:r>
      <w:r w:rsidR="00347EC2" w:rsidRPr="00AE70FA">
        <w:t xml:space="preserve">\cite{Liao2013} </w:t>
      </w:r>
      <w:r w:rsidR="0091497F" w:rsidRPr="00AE70FA">
        <w:t>and discarded non-uniquely mapping reads. We</w:t>
      </w:r>
      <w:r w:rsidR="0008458C" w:rsidRPr="00AE70FA">
        <w:t xml:space="preserve"> downloaded the exon coordinates of 19,800 Ensembl</w:t>
      </w:r>
      <w:r w:rsidR="00D30B90" w:rsidRPr="00AE70FA">
        <w:t xml:space="preserve"> \cite{Yates2016} </w:t>
      </w:r>
      <w:r w:rsidR="0008458C" w:rsidRPr="00AE70FA">
        <w:t xml:space="preserve">protein-coding genes (Ensembl 83, Dec 2015, GRCh38.p5) using the </w:t>
      </w:r>
      <w:r w:rsidR="0008458C" w:rsidRPr="00AE70FA">
        <w:lastRenderedPageBreak/>
        <w:t xml:space="preserve">R/Bioconductor </w:t>
      </w:r>
      <w:r w:rsidR="00D70045" w:rsidRPr="00AE70FA">
        <w:t xml:space="preserve">\cite{Huber2015} </w:t>
      </w:r>
      <w:r w:rsidR="0008458C" w:rsidRPr="00AE70FA">
        <w:t xml:space="preserve">package biomaRt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featureCounts</w:t>
      </w:r>
      <w:r w:rsidR="00347EC2" w:rsidRPr="00AE70FA">
        <w:t xml:space="preserve"> \cite{Liao2014}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(cpm)</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\ref{fig:gene}</w:t>
      </w:r>
      <w:r w:rsidR="0023292C" w:rsidRPr="00AE70FA">
        <w:t xml:space="preserve">, Supplementary Data </w:t>
      </w:r>
      <w:r w:rsidR="00FD2B55" w:rsidRPr="00AE70FA">
        <w:t>S2</w:t>
      </w:r>
      <w:r w:rsidR="009970DE" w:rsidRPr="00AE70FA">
        <w:t>)</w:t>
      </w:r>
      <w:r w:rsidR="007C3548" w:rsidRPr="00AE70FA">
        <w:t>.</w:t>
      </w:r>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\ref{fig:heat-all}</w:t>
      </w:r>
      <w:r w:rsidR="00C27B68" w:rsidRPr="00AE70FA">
        <w:t xml:space="preserve">, </w:t>
      </w:r>
      <w:r w:rsidR="00843131" w:rsidRPr="00AE70FA">
        <w:t>\ref{fig:heat-filt}</w:t>
      </w:r>
      <w:r w:rsidR="00C27B68" w:rsidRPr="00AE70FA">
        <w:t xml:space="preserve">, </w:t>
      </w:r>
      <w:r w:rsidR="00507E34" w:rsidRPr="00AE70FA">
        <w:t>\ref{</w:t>
      </w:r>
      <w:r w:rsidR="00767F87" w:rsidRPr="00AE70FA">
        <w:t>fig</w:t>
      </w:r>
      <w:r w:rsidR="001B1307" w:rsidRPr="00AE70FA">
        <w:t>:outliers})</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 xml:space="preserve">to check for any potential confounding technical batch effects (Supplementary Fig. \ref{fig:batch}).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\ref{fig:process})</w:t>
      </w:r>
      <w:r w:rsidR="001A2E28" w:rsidRPr="00AE70FA">
        <w:t>. Infection batch correlated with PCs 3 and 5; however, we verified that this variation was not confounded with our primary outcome of interest, TB susceptibility (Supplementary Fig. \ref{fig:infection}).</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r w:rsidR="00DA6365" w:rsidRPr="00AE70FA">
        <w:t>limma</w:t>
      </w:r>
      <w:r w:rsidR="000F6A9A" w:rsidRPr="00AE70FA">
        <w:t>+voom</w:t>
      </w:r>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\label{eq:limma</w:t>
      </w:r>
      <w:r w:rsidRPr="00AE70FA">
        <w:t>}</w:t>
      </w:r>
    </w:p>
    <w:p w14:paraId="59654D6D" w14:textId="77777777" w:rsidR="002D392E" w:rsidRPr="00AE70FA" w:rsidRDefault="00C6746E" w:rsidP="00137DFE">
      <w:pPr>
        <w:pStyle w:val="LaTeX"/>
      </w:pPr>
      <w:r w:rsidRPr="00AE70FA">
        <w:t>Y\ \sim</w:t>
      </w:r>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X_{treat}\beta_{treat}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X_{treat,status}\beta_{treat,status}</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 xml:space="preserve">where $\beta_{0}$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$\beta_{treat,status}$ is the fixed </w:t>
      </w:r>
      <w:r w:rsidR="00C57798" w:rsidRPr="00AE70FA">
        <w:lastRenderedPageBreak/>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limma function duplicateCorrelation </w:t>
      </w:r>
      <w:r w:rsidR="00723BBA" w:rsidRPr="00AE70FA">
        <w:t>\</w:t>
      </w:r>
      <w:r w:rsidRPr="00AE70FA">
        <w:t>cite</w:t>
      </w:r>
      <w:r w:rsidR="00723BBA" w:rsidRPr="00AE70FA">
        <w:t>{Smyth2005}</w:t>
      </w:r>
      <w:r w:rsidRPr="00AE70FA">
        <w:t>. To jointly model the data with voom and duplicateCorrelation, we followed the recommended best practice of running both voom and duplicateCorrelation twice in succession</w:t>
      </w:r>
      <w:r w:rsidR="00F96259" w:rsidRPr="00AE70FA">
        <w:t xml:space="preserve"> </w:t>
      </w:r>
      <w:r w:rsidR="00583608" w:rsidRPr="00AE70FA">
        <w:t>\</w:t>
      </w:r>
      <w:r w:rsidR="00F96259" w:rsidRPr="00AE70FA">
        <w:t>cite</w:t>
      </w:r>
      <w:r w:rsidR="00583608" w:rsidRPr="00AE70FA">
        <w:t>{</w:t>
      </w:r>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{treat,status}</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6" w:name="OLE_LINK1"/>
      <w:bookmarkStart w:id="7" w:name="OLE_LINK2"/>
      <w:r w:rsidR="0042029E" w:rsidRPr="00AE70FA">
        <w:t>\beta</w:t>
      </w:r>
      <w:r w:rsidR="007B596A" w:rsidRPr="00AE70FA">
        <w:t>_</w:t>
      </w:r>
      <w:r w:rsidR="0042029E" w:rsidRPr="00AE70FA">
        <w:t>{treat,status} = 0$</w:t>
      </w:r>
      <w:bookmarkEnd w:id="6"/>
      <w:bookmarkEnd w:id="7"/>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\beta_{treat,status}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\cite{LangoAllen2010})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lastRenderedPageBreak/>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R/Bioconductor</w:t>
      </w:r>
      <w:r w:rsidR="004F1D96" w:rsidRPr="00AE70FA">
        <w:t xml:space="preserve"> \cite{Huber2015}</w:t>
      </w:r>
      <w:r w:rsidR="005D2FB8" w:rsidRPr="00AE70FA">
        <w:t xml:space="preserve"> package SNPlocs.Hsapiens.dbSNP144.GRCh38 and </w:t>
      </w:r>
      <w:r w:rsidR="006C0E75" w:rsidRPr="00AE70FA">
        <w:t>matched SNPs to nearby genes using GenomicRanges</w:t>
      </w:r>
      <w:r w:rsidR="004F1D96" w:rsidRPr="00AE70FA">
        <w:t xml:space="preserve"> \cite{Lawrence2013}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\ref{fig:gwas}</w:t>
      </w:r>
      <w:r w:rsidR="000040CD">
        <w:t xml:space="preserve">; </w:t>
      </w:r>
      <w:r w:rsidR="00E13835" w:rsidRPr="00AE70FA">
        <w:t>Supplementary Fig. \ref{</w:t>
      </w:r>
      <w:r w:rsidR="005432D0" w:rsidRPr="00AE70FA">
        <w:t>fig:</w:t>
      </w:r>
      <w:r w:rsidR="00E13835" w:rsidRPr="00AE70FA">
        <w:t>gwas-supp})</w:t>
      </w:r>
      <w:r w:rsidR="00DB7931" w:rsidRPr="00AE70FA">
        <w:t>.</w:t>
      </w:r>
    </w:p>
    <w:p w14:paraId="46D1ED62" w14:textId="77777777" w:rsidR="00EE7DC3" w:rsidRPr="00AE70FA" w:rsidRDefault="00EE7DC3" w:rsidP="00EE7DC3">
      <w:pPr>
        <w:pStyle w:val="Heading2"/>
      </w:pPr>
      <w:r w:rsidRPr="00AE70FA">
        <w:t>Classifier</w:t>
      </w:r>
    </w:p>
    <w:p w14:paraId="7E8C9699" w14:textId="7E8B51A0"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\ref</w:t>
      </w:r>
      <w:r w:rsidR="00E27459" w:rsidRPr="00D34D37">
        <w:t>{fig:class-svm-thuong}</w:t>
      </w:r>
      <w:r w:rsidR="00E27459">
        <w:t>)</w:t>
      </w:r>
      <w:r w:rsidR="00A96A24" w:rsidRPr="00AE70FA">
        <w:t>.</w:t>
      </w:r>
      <w:r w:rsidR="00555EFD" w:rsidRPr="00AE70FA">
        <w:t xml:space="preserve"> </w:t>
      </w:r>
      <w:r w:rsidR="00A301AC" w:rsidRPr="00AE70FA">
        <w:t>Because the two studies are substantially different, we took multiple steps to make them comparable. First, w</w:t>
      </w:r>
      <w:r w:rsidR="00C1696B" w:rsidRPr="00AE70FA">
        <w:t>e subset to include only those 9,450</w:t>
      </w:r>
      <w:r w:rsidR="00A301AC" w:rsidRPr="00AE70FA">
        <w:t xml:space="preserve"> genes which were assayed in both. Second, because the dynamic range obtained from RNA-seq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\ref{fig:combined-dist}</w:t>
      </w:r>
      <w:r w:rsidR="00D65DFF" w:rsidRPr="00AE70FA">
        <w:t xml:space="preserve">; note however that this strategy is unable to correct for the inability of </w:t>
      </w:r>
      <w:r w:rsidR="00D65DFF" w:rsidRPr="00AE70FA">
        <w:lastRenderedPageBreak/>
        <w:t>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limma function removeBatchEffect \cite{Ri</w:t>
      </w:r>
      <w:r w:rsidR="00EC6F33" w:rsidRPr="00AE70FA">
        <w:t>tchie2015} (Supplementary Fig. \ref{</w:t>
      </w:r>
      <w:r w:rsidR="00A5616F" w:rsidRPr="00AE70FA">
        <w:t>fig:</w:t>
      </w:r>
      <w:r w:rsidR="00EC6F33" w:rsidRPr="00AE70FA">
        <w:t>combined-pca}</w:t>
      </w:r>
      <w:r w:rsidR="00AD494C" w:rsidRPr="00AE70FA">
        <w:t>).</w:t>
      </w:r>
    </w:p>
    <w:p w14:paraId="727A6F27" w14:textId="77777777" w:rsidR="00D41B60" w:rsidRPr="00AE70FA" w:rsidRDefault="00D41B60" w:rsidP="00EE7DC3"/>
    <w:p w14:paraId="5E0729DF" w14:textId="590DC782" w:rsidR="00D41B60" w:rsidRPr="00AE70FA" w:rsidRDefault="00D41B60" w:rsidP="00EE7DC3">
      <w:r w:rsidRPr="00AE70FA">
        <w:t xml:space="preserve">To identify genes </w:t>
      </w:r>
      <w:r w:rsidR="00370A5B" w:rsidRPr="00AE70FA">
        <w:t>to use in the classifier, we performed a differential expression analysis on the normalized, batch-corrected data from the current study using the same approach described above (with the exception that we no longer used voom</w:t>
      </w:r>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r w:rsidR="00132DA2" w:rsidRPr="00AE70FA">
        <w:t>We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\ref{fig:classifier}a</w:t>
      </w:r>
      <w:r w:rsidR="00EB0F4D" w:rsidRPr="00AE70FA">
        <w:t xml:space="preserve"> </w:t>
      </w:r>
      <w:r w:rsidR="00EB0F4D">
        <w:t>,</w:t>
      </w:r>
      <w:r w:rsidR="00A12A84" w:rsidRPr="00AE70FA">
        <w:t>Supplementary Fig. \ref{fig:class-compare}</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 \ref{fig:class-</w:t>
      </w:r>
      <w:r w:rsidR="0039676B" w:rsidRPr="00AE70FA">
        <w:t>en</w:t>
      </w:r>
      <w:r w:rsidR="00A12A84" w:rsidRPr="00AE70FA">
        <w:t>})</w:t>
      </w:r>
      <w:r w:rsidR="0004244B" w:rsidRPr="00AE70FA">
        <w:t xml:space="preserve"> and random forest</w:t>
      </w:r>
      <w:r w:rsidR="00A12A84" w:rsidRPr="00AE70FA">
        <w:t xml:space="preserve"> (Supplementary Fig. \ref{fig:class-</w:t>
      </w:r>
      <w:r w:rsidR="0039676B" w:rsidRPr="00AE70FA">
        <w:t>rf</w:t>
      </w:r>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\ref{fig:classifier}b).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w:t>
      </w:r>
      <w:r w:rsidR="008A18BE" w:rsidRPr="00AE70FA">
        <w:lastRenderedPageBreak/>
        <w:t xml:space="preserve">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\ref{fig:class-exp}).</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Snakemake \</w:t>
      </w:r>
      <w:r w:rsidR="009A24AA" w:rsidRPr="00AE70FA">
        <w:t>cite</w:t>
      </w:r>
      <w:r w:rsidR="009E1925" w:rsidRPr="00AE70FA">
        <w:t>{Koster2012}</w:t>
      </w:r>
      <w:r w:rsidRPr="00AE70FA">
        <w:t>. Our processing pipeline used the general bioinformatics software FastQC</w:t>
      </w:r>
      <w:r w:rsidR="00F126C0" w:rsidRPr="00AE70FA">
        <w:t xml:space="preserve"> (http://www.bioinformatics.babraham.ac.uk/projects/fastqc/)</w:t>
      </w:r>
      <w:r w:rsidRPr="00AE70FA">
        <w:t>, MultiQC</w:t>
      </w:r>
      <w:r w:rsidR="00AD7EB3" w:rsidRPr="00AE70FA">
        <w:t xml:space="preserve"> \cite{Ewels2016}</w:t>
      </w:r>
      <w:r w:rsidRPr="00AE70FA">
        <w:t>, samtools</w:t>
      </w:r>
      <w:r w:rsidR="00271127" w:rsidRPr="00AE70FA">
        <w:t xml:space="preserve"> \cite{Li2009}</w:t>
      </w:r>
      <w:r w:rsidRPr="00AE70FA">
        <w:t>, and bioawk</w:t>
      </w:r>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We </w:t>
      </w:r>
      <w:r w:rsidR="00057537" w:rsidRPr="00AE70FA">
        <w:t>obtained gene annotation information from</w:t>
      </w:r>
      <w:r w:rsidR="00A90A31" w:rsidRPr="00AE70FA">
        <w:t xml:space="preserve"> the Ensembl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of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60219A6" w:rsidR="00E43BCC" w:rsidRDefault="00E43BCC" w:rsidP="00E43BCC">
      <w:r w:rsidRPr="00AE70FA">
        <w:t>The raw fastq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query/acc.cgi?acc=GSEXXXXX). The </w:t>
      </w:r>
      <w:r w:rsidR="00A62131" w:rsidRPr="00AE70FA">
        <w:t>RNA-seq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ergey Nejentsev (</w:t>
      </w:r>
      <w:r w:rsidR="00BC7B41" w:rsidRPr="00BB634A">
        <w:t>sn262@cam.ac.uk</w:t>
      </w:r>
      <w:r w:rsidR="00BC7B41">
        <w:t xml:space="preserve">), </w:t>
      </w:r>
      <w:r>
        <w:t>Ghana</w:t>
      </w:r>
      <w:r w:rsidR="00BC7B41">
        <w:t xml:space="preserve"> and The Gambia -</w:t>
      </w:r>
      <w:r>
        <w:t xml:space="preserve"> </w:t>
      </w:r>
      <w:r w:rsidR="00BC7B41" w:rsidRPr="00BC7B41">
        <w:t xml:space="preserve">Thorsten Thye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lastRenderedPageBreak/>
        <w:t>Acknowledgements</w:t>
      </w:r>
    </w:p>
    <w:p w14:paraId="14E5B458" w14:textId="404AD95F" w:rsidR="00C12D99" w:rsidRPr="00AE70FA" w:rsidRDefault="00180D5B" w:rsidP="00835A3F">
      <w:r>
        <w:t xml:space="preserve">We thank Matthew Stephens and John Novembre for providing feedback and Gilad lab members for helpful discussion. </w:t>
      </w:r>
      <w:r w:rsidRPr="00AE70FA">
        <w:t>We thank Marie-Noëlle Ungeheuer for help recruiting subjects.</w:t>
      </w:r>
      <w:r>
        <w:t xml:space="preserve"> We thank </w:t>
      </w:r>
      <w:r w:rsidRPr="00BC7B41">
        <w:t>S</w:t>
      </w:r>
      <w:r>
        <w:t>ergey Nejentsev</w:t>
      </w:r>
      <w:r w:rsidR="00835A3F">
        <w:t xml:space="preserve"> for sharing data from the GWAS in Russia. We thank</w:t>
      </w:r>
      <w:r>
        <w:t xml:space="preserve"> </w:t>
      </w:r>
      <w:r w:rsidR="00FA1AE0" w:rsidRPr="00AE70FA">
        <w:t>T</w:t>
      </w:r>
      <w:r>
        <w:t>horsten Thye for</w:t>
      </w:r>
      <w:r w:rsidR="00835A3F">
        <w:t xml:space="preserve"> sharing data from</w:t>
      </w:r>
      <w:r>
        <w:t xml:space="preserve"> the GWAS in Ghana and The Gambia</w:t>
      </w:r>
      <w:r w:rsidR="00835A3F">
        <w:t>. We thank Rafal S. Sobota, Catherine M. Stein,</w:t>
      </w:r>
      <w:r w:rsidR="00C37363">
        <w:t xml:space="preserve"> </w:t>
      </w:r>
      <w:r w:rsidR="00C37363" w:rsidRPr="00C37363">
        <w:t>Giorgio Sirugo,</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43A9919C"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and L.B.B</w:t>
      </w:r>
      <w:r w:rsidR="00481DDE" w:rsidRPr="00AE70FA">
        <w:t>.</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5"/>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\begin{figure}[ht]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\includegraphics[width=\linewidth]{../figure/processing.pdf}</w:t>
      </w:r>
    </w:p>
    <w:p w14:paraId="4DE52D82" w14:textId="77777777" w:rsidR="00A07AC1" w:rsidRPr="00AE70FA" w:rsidRDefault="00A07AC1" w:rsidP="00A07AC1">
      <w:pPr>
        <w:pStyle w:val="LaTeX"/>
      </w:pPr>
      <w:r w:rsidRPr="00AE70FA">
        <w:t>\caption{</w:t>
      </w:r>
    </w:p>
    <w:p w14:paraId="6C0FA84B" w14:textId="77777777" w:rsidR="00A07AC1" w:rsidRPr="00AE70FA" w:rsidRDefault="00A07AC1" w:rsidP="00A07AC1">
      <w:r w:rsidRPr="00AE70FA">
        <w:t>Batch processing</w:t>
      </w:r>
      <w:r w:rsidR="00B96053" w:rsidRPr="00AE70FA">
        <w:t>.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\label{fig:process}</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\begin{figure}[ht]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\includegraphics[width=\linewidth]{../figure/gene-exp-distribution</w:t>
      </w:r>
      <w:r w:rsidR="005C623A" w:rsidRPr="00AE70FA">
        <w:t>.pdf</w:t>
      </w:r>
      <w:r w:rsidRPr="00AE70FA">
        <w:t>}</w:t>
      </w:r>
    </w:p>
    <w:p w14:paraId="1D817EAF" w14:textId="77777777" w:rsidR="00737356" w:rsidRPr="00AE70FA" w:rsidRDefault="00737356" w:rsidP="00737356">
      <w:pPr>
        <w:pStyle w:val="LaTeX"/>
      </w:pPr>
      <w:r w:rsidRPr="00AE70FA">
        <w:t>\caption{</w:t>
      </w:r>
    </w:p>
    <w:p w14:paraId="0BE5C111" w14:textId="77777777" w:rsidR="00737356" w:rsidRPr="00AE70FA" w:rsidRDefault="00540CCF" w:rsidP="00737356">
      <w:r w:rsidRPr="00AE70FA">
        <w:t>Gene expression distributions before and after filtering</w:t>
      </w:r>
      <w:r w:rsidR="00B433F4" w:rsidRPr="00AE70FA">
        <w:t xml:space="preserve"> genes and samples</w:t>
      </w:r>
      <w:r w:rsidRPr="00AE70FA">
        <w:t>.</w:t>
      </w:r>
      <w:r w:rsidR="00B433F4" w:rsidRPr="00AE70FA">
        <w:t xml:space="preserve"> The log</w:t>
      </w:r>
      <w:r w:rsidR="00B433F4" w:rsidRPr="00AE70FA">
        <w:rPr>
          <w:vertAlign w:val="subscript"/>
        </w:rPr>
        <w:t>2</w:t>
      </w:r>
      <w:r w:rsidR="00B433F4" w:rsidRPr="00AE70FA">
        <w:t xml:space="preserve"> counts per million (cpm)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cpm.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\label{fig:</w:t>
      </w:r>
      <w:r w:rsidR="00540CCF" w:rsidRPr="00AE70FA">
        <w:t>gene</w:t>
      </w:r>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\begin{figure}[ht]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\includegraphics[width=\linewidth]{../figure/heatmap-all-samples.pdf}</w:t>
      </w:r>
    </w:p>
    <w:p w14:paraId="56F433CB" w14:textId="77777777" w:rsidR="00A30CA8" w:rsidRPr="00AE70FA" w:rsidRDefault="00A30CA8" w:rsidP="00A30CA8">
      <w:pPr>
        <w:pStyle w:val="LaTeX"/>
      </w:pPr>
      <w:r w:rsidRPr="00AE70FA">
        <w:t>\caption{</w:t>
      </w:r>
    </w:p>
    <w:p w14:paraId="7173D6EC" w14:textId="1BA72872" w:rsidR="00A30CA8" w:rsidRPr="00AE70FA" w:rsidRDefault="00A30CA8" w:rsidP="00A30CA8">
      <w:r w:rsidRPr="00AE70FA">
        <w:t>Heatmap of correlation matrix of samples.</w:t>
      </w:r>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cpm expression values of two samples. Red indicates a low correlation of zero and white represents a high correlation of 1. The dendrogram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\label{fig:heat-all}</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\begin{figure}[ht]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\includegraphics[width=\linewidth]{../figure/heatmap-</w:t>
      </w:r>
      <w:r w:rsidR="00E32FBF" w:rsidRPr="00AE70FA">
        <w:t>no-outliers</w:t>
      </w:r>
      <w:r w:rsidRPr="00AE70FA">
        <w:t>.pdf}</w:t>
      </w:r>
    </w:p>
    <w:p w14:paraId="7944DDCC" w14:textId="77777777" w:rsidR="00A30CA8" w:rsidRPr="00AE70FA" w:rsidRDefault="00A30CA8" w:rsidP="00A30CA8">
      <w:pPr>
        <w:pStyle w:val="LaTeX"/>
      </w:pPr>
      <w:r w:rsidRPr="00AE70FA">
        <w:t>\caption{</w:t>
      </w:r>
    </w:p>
    <w:p w14:paraId="61FDE0B4" w14:textId="77777777" w:rsidR="00A30CA8" w:rsidRPr="00AE70FA" w:rsidRDefault="00A30CA8" w:rsidP="00A30CA8">
      <w:r w:rsidRPr="00AE70FA">
        <w:t xml:space="preserve">Heatmap </w:t>
      </w:r>
      <w:r w:rsidR="00E32FBF" w:rsidRPr="00AE70FA">
        <w:t>of correlation matrix after removing outliers</w:t>
      </w:r>
      <w:r w:rsidRPr="00AE70FA">
        <w:t>.</w:t>
      </w:r>
      <w:r w:rsidR="00BA6D1F" w:rsidRPr="00AE70FA">
        <w:t xml:space="preserve"> Each square represents the Pearson correlation between the log</w:t>
      </w:r>
      <w:r w:rsidR="00BA6D1F" w:rsidRPr="00AE70FA">
        <w:rPr>
          <w:vertAlign w:val="subscript"/>
        </w:rPr>
        <w:t>2</w:t>
      </w:r>
      <w:r w:rsidR="00BA6D1F" w:rsidRPr="00AE70FA">
        <w:t xml:space="preserve"> cpm expression values of two samples. Red indicates a low correlation of zero and white represents a high correlation of 1. The dendrogram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\label{fig:</w:t>
      </w:r>
      <w:r w:rsidR="00E32FBF" w:rsidRPr="00AE70FA">
        <w:t>heat-filt</w:t>
      </w:r>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\begin{figure}[ht]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\includegraphics[width=\linewidth]{../figure/outliers.pdf}</w:t>
      </w:r>
    </w:p>
    <w:p w14:paraId="27E852C4" w14:textId="77777777" w:rsidR="00663D43" w:rsidRPr="00AE70FA" w:rsidRDefault="00663D43" w:rsidP="00663D43">
      <w:pPr>
        <w:pStyle w:val="LaTeX"/>
      </w:pPr>
      <w:r w:rsidRPr="00AE70FA">
        <w:t>\caption{</w:t>
      </w:r>
    </w:p>
    <w:p w14:paraId="16BC0392" w14:textId="17177A05" w:rsidR="00663D43" w:rsidRPr="00AE70FA" w:rsidRDefault="00CA7272" w:rsidP="00663D43">
      <w:r w:rsidRPr="00AE70FA">
        <w:t xml:space="preserve">Principal components analysis </w:t>
      </w:r>
      <w:r w:rsidR="00441E7B" w:rsidRPr="00AE70FA">
        <w:t xml:space="preserve">(PCA) </w:t>
      </w:r>
      <w:r w:rsidRPr="00AE70FA">
        <w:t>to identify</w:t>
      </w:r>
      <w:r w:rsidR="00663D43" w:rsidRPr="00AE70FA">
        <w:t xml:space="preserve"> outliers.</w:t>
      </w:r>
      <w:r w:rsidRPr="00AE70FA">
        <w:t xml:space="preserve"> </w:t>
      </w:r>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 xml:space="preserve">PC5 versus PC6. Each sample is represented by its 3-letter ID. “s”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\label{fig:outliers}</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\begin{figure}[ht]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\includegraphics[width=\li</w:t>
      </w:r>
      <w:r w:rsidR="00A572BB" w:rsidRPr="00AE70FA">
        <w:t>newidth]{../figure/batch-pca.pdf</w:t>
      </w:r>
      <w:r w:rsidRPr="00AE70FA">
        <w:t>}</w:t>
      </w:r>
    </w:p>
    <w:p w14:paraId="1074D3B1" w14:textId="77777777" w:rsidR="000F07B1" w:rsidRPr="00AE70FA" w:rsidRDefault="000F07B1" w:rsidP="000F07B1">
      <w:pPr>
        <w:pStyle w:val="LaTeX"/>
      </w:pPr>
      <w:r w:rsidRPr="00AE70FA">
        <w:t>\caption{</w:t>
      </w:r>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\label{fig:</w:t>
      </w:r>
      <w:r w:rsidR="006C4950" w:rsidRPr="00AE70FA">
        <w:t>batch</w:t>
      </w:r>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\begin{figure}[ht]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h]{../figure/batch-infection.pdf</w:t>
      </w:r>
      <w:r w:rsidRPr="00AE70FA">
        <w:t>}</w:t>
      </w:r>
    </w:p>
    <w:p w14:paraId="7624164D" w14:textId="77777777" w:rsidR="00636665" w:rsidRPr="00AE70FA" w:rsidRDefault="00636665" w:rsidP="00636665">
      <w:pPr>
        <w:pStyle w:val="LaTeX"/>
      </w:pPr>
      <w:r w:rsidRPr="00AE70FA">
        <w:t>\caption{</w:t>
      </w:r>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\label{fig:infection}</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\begin{figure}[ht]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\includegraphics[width=\linewidth]{../figure/limma-supp.pdf}</w:t>
      </w:r>
    </w:p>
    <w:p w14:paraId="5D9BA63D" w14:textId="77777777" w:rsidR="00437148" w:rsidRPr="00AE70FA" w:rsidRDefault="00437148" w:rsidP="00437148">
      <w:pPr>
        <w:pStyle w:val="LaTeX"/>
      </w:pPr>
      <w:r w:rsidRPr="00AE70FA">
        <w:t>\caption{</w:t>
      </w:r>
    </w:p>
    <w:p w14:paraId="374565C6" w14:textId="3BC3C4DF" w:rsidR="0000116E" w:rsidRPr="00AE70FA" w:rsidRDefault="0000116E" w:rsidP="00437148">
      <w:r w:rsidRPr="00AE70FA">
        <w:t xml:space="preserve">Effect of treatment with MTB.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\label{fig:limma-supp}</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\begin{figure}[ht]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\includegraphics[width=</w:t>
      </w:r>
      <w:r>
        <w:t>\linewidth]{../figure/variance</w:t>
      </w:r>
      <w:r w:rsidRPr="00AE70FA">
        <w:t>.pdf}</w:t>
      </w:r>
    </w:p>
    <w:p w14:paraId="19F67E81" w14:textId="77777777" w:rsidR="00EB6210" w:rsidRPr="00AE70FA" w:rsidRDefault="00EB6210" w:rsidP="00EB6210">
      <w:pPr>
        <w:pStyle w:val="LaTeX"/>
      </w:pPr>
      <w:r w:rsidRPr="00AE70FA">
        <w:t>\caption{</w:t>
      </w:r>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bookmarkStart w:id="8" w:name="_GoBack"/>
      <w:bookmarkEnd w:id="8"/>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variances.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\label{fig:</w:t>
      </w:r>
      <w:r>
        <w:t>variance</w:t>
      </w:r>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\begin{figure}[ht]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\includegraphics[width=</w:t>
      </w:r>
      <w:r w:rsidR="00F33E56">
        <w:t>6in</w:t>
      </w:r>
      <w:r w:rsidRPr="00AE70FA">
        <w:t>]{../figure/gwas-</w:t>
      </w:r>
      <w:r w:rsidR="009262AB">
        <w:t>figures</w:t>
      </w:r>
      <w:r w:rsidRPr="00AE70FA">
        <w:t>.pdf}</w:t>
      </w:r>
    </w:p>
    <w:p w14:paraId="19FA9DC9" w14:textId="77777777" w:rsidR="002D4008" w:rsidRPr="00AE70FA" w:rsidRDefault="002D4008" w:rsidP="002D4008">
      <w:pPr>
        <w:pStyle w:val="LaTeX"/>
      </w:pPr>
      <w:r w:rsidRPr="00AE70FA">
        <w:t>\caption{</w:t>
      </w:r>
    </w:p>
    <w:p w14:paraId="1B2873E0" w14:textId="15BAEC99" w:rsidR="00B44261" w:rsidRPr="00AE70FA" w:rsidRDefault="00B44261" w:rsidP="00B44261">
      <w:r w:rsidRPr="00AE70FA">
        <w:t xml:space="preserve">Comparison of differential expression and GWAS results.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\cite{LangoAllen2010}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(status_ni)</w:t>
      </w:r>
      <w:r w:rsidR="00260F99" w:rsidRPr="00260F99">
        <w:t>, resistant vs. susceptible individuals in the infected state</w:t>
      </w:r>
      <w:r w:rsidR="00260F99">
        <w:t xml:space="preserve"> (status_ii)</w:t>
      </w:r>
      <w:r w:rsidR="00260F99" w:rsidRPr="00260F99">
        <w:t>, effect of treatment in resistant individuals</w:t>
      </w:r>
      <w:r w:rsidR="00260F99">
        <w:t xml:space="preserve"> (treat_resist)</w:t>
      </w:r>
      <w:r w:rsidR="00260F99" w:rsidRPr="00260F99">
        <w:t xml:space="preserve">, </w:t>
      </w:r>
      <w:r w:rsidR="00260F99">
        <w:t xml:space="preserve">and </w:t>
      </w:r>
      <w:r w:rsidR="00260F99" w:rsidRPr="00260F99">
        <w:t>effect of treatment in susceptible individuals</w:t>
      </w:r>
      <w:r w:rsidR="00260F99">
        <w:t xml:space="preserve"> (treat_suscep)</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\label{fig:</w:t>
      </w:r>
      <w:r w:rsidR="00B2380C" w:rsidRPr="00AE70FA">
        <w:t>gwas-supp</w:t>
      </w:r>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\begin{figure}[ht]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\caption{</w:t>
      </w:r>
    </w:p>
    <w:p w14:paraId="54961786" w14:textId="77777777" w:rsidR="00BB1A39" w:rsidRPr="00AE70FA" w:rsidRDefault="00C61C61" w:rsidP="00BB1A39">
      <w:r w:rsidRPr="00AE70FA">
        <w:t>Normalizing gene expression distributions. (left) The distribution of the median log2 cpm of the RNA-seq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(right) The distributions of the same data sets after normalizing each sample to a standard normal distribution.</w:t>
      </w:r>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\label{fig:combine</w:t>
      </w:r>
      <w:r w:rsidR="006B1689" w:rsidRPr="00AE70FA">
        <w:t>d</w:t>
      </w:r>
      <w:r w:rsidRPr="00AE70FA">
        <w:t>-dist}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\begin{figure}[ht]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\includegraphics[width=\linewidth]{../figure/combine</w:t>
      </w:r>
      <w:r w:rsidR="006B1689" w:rsidRPr="00AE70FA">
        <w:t>d</w:t>
      </w:r>
      <w:r w:rsidRPr="00AE70FA">
        <w:t>-pca.pdf}</w:t>
      </w:r>
    </w:p>
    <w:p w14:paraId="1E5C52C8" w14:textId="77777777" w:rsidR="00031079" w:rsidRPr="00AE70FA" w:rsidRDefault="00031079" w:rsidP="00031079">
      <w:pPr>
        <w:pStyle w:val="LaTeX"/>
      </w:pPr>
      <w:r w:rsidRPr="00AE70FA">
        <w:t>\caption{</w:t>
      </w:r>
    </w:p>
    <w:p w14:paraId="56E083C5" w14:textId="0812E52A" w:rsidR="00F83935" w:rsidRPr="00AE70FA" w:rsidRDefault="0082535B" w:rsidP="00F83935">
      <w:r w:rsidRPr="00AE70FA">
        <w:t xml:space="preserve">Principal components analysis (PCA) of combined data sets. (a) PC1 versus PC2 of the combined data set of the RNA-seq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\label{fig:combine</w:t>
      </w:r>
      <w:r w:rsidR="006B1689" w:rsidRPr="00AE70FA">
        <w:t>d</w:t>
      </w:r>
      <w:r w:rsidRPr="00AE70FA">
        <w:t>-pca}</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\begin{figure}[ht]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\includegraphics[width=\linewidth]{../figure/</w:t>
      </w:r>
      <w:r w:rsidR="00F92401" w:rsidRPr="00AE70FA">
        <w:t>classifier-compare</w:t>
      </w:r>
      <w:r w:rsidRPr="00AE70FA">
        <w:t>.pdf}</w:t>
      </w:r>
    </w:p>
    <w:p w14:paraId="45C9193C" w14:textId="77777777" w:rsidR="006F2AA7" w:rsidRPr="00AE70FA" w:rsidRDefault="006F2AA7" w:rsidP="006F2AA7">
      <w:pPr>
        <w:pStyle w:val="LaTeX"/>
      </w:pPr>
      <w:r w:rsidRPr="00AE70FA">
        <w:t>\caption{</w:t>
      </w:r>
    </w:p>
    <w:p w14:paraId="4ED9DEA0" w14:textId="6AAC6E4F" w:rsidR="00C05895" w:rsidRPr="00AE70FA" w:rsidRDefault="00C05895" w:rsidP="00C05895">
      <w:r w:rsidRPr="00AE70FA">
        <w:t xml:space="preserve">Comparing the </w:t>
      </w:r>
      <w:r w:rsidR="001A43D8" w:rsidRPr="00AE70FA">
        <w:t>classification results of different methods</w:t>
      </w:r>
      <w:r w:rsidRPr="00AE70FA">
        <w:t xml:space="preserve"> and number of input genes.</w:t>
      </w:r>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\label{fig:</w:t>
      </w:r>
      <w:r w:rsidR="00F92401" w:rsidRPr="00AE70FA">
        <w:t>class-compare</w:t>
      </w:r>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\begin{figure}[ht]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\includegraphics[width=\linewidth]{../figure/</w:t>
      </w:r>
      <w:r w:rsidR="001F03E0" w:rsidRPr="00AE70FA">
        <w:t>classifier-en</w:t>
      </w:r>
      <w:r w:rsidRPr="00AE70FA">
        <w:t>.pdf}</w:t>
      </w:r>
    </w:p>
    <w:p w14:paraId="1A9142BF" w14:textId="77777777" w:rsidR="0000254B" w:rsidRPr="00AE70FA" w:rsidRDefault="0000254B" w:rsidP="0000254B">
      <w:pPr>
        <w:pStyle w:val="LaTeX"/>
      </w:pPr>
      <w:r w:rsidRPr="00AE70FA">
        <w:t>\caption{</w:t>
      </w:r>
    </w:p>
    <w:p w14:paraId="51BA4B5D" w14:textId="096ED133" w:rsidR="00407206" w:rsidRPr="00AE70FA" w:rsidRDefault="00407206" w:rsidP="00407206">
      <w:r w:rsidRPr="00AE70FA">
        <w:t xml:space="preserve">Classifying TB susceptible individuals using an elastic net </w:t>
      </w:r>
      <w:r w:rsidR="00FF08C6"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\label{fig:</w:t>
      </w:r>
      <w:r w:rsidR="001F03E0" w:rsidRPr="00AE70FA">
        <w:t>class-en</w:t>
      </w:r>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\begin{figure}[ht]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\includegraphics[width=\linewidth]{../figure/classifier-rf.pdf}</w:t>
      </w:r>
    </w:p>
    <w:p w14:paraId="620EA22D" w14:textId="77777777" w:rsidR="00043BCC" w:rsidRPr="00AE70FA" w:rsidRDefault="00043BCC" w:rsidP="00043BCC">
      <w:pPr>
        <w:pStyle w:val="LaTeX"/>
      </w:pPr>
      <w:r w:rsidRPr="00AE70FA">
        <w:t>\caption{</w:t>
      </w:r>
    </w:p>
    <w:p w14:paraId="66708EE2" w14:textId="1F45EAAA" w:rsidR="00407206" w:rsidRPr="00AE70FA" w:rsidRDefault="00407206" w:rsidP="00407206">
      <w:r w:rsidRPr="00AE70FA">
        <w:t xml:space="preserve">Classifying TB susceptible individuals using a random forest </w:t>
      </w:r>
      <w:r w:rsidR="00FE1C22" w:rsidRPr="00AE70FA">
        <w:t>model</w:t>
      </w:r>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\label{fig:class-rf}</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\begin{figure}[ht]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\includegraphics[width=</w:t>
      </w:r>
      <w:r w:rsidR="00564B05">
        <w:t>4</w:t>
      </w:r>
      <w:r w:rsidR="004F25BC">
        <w:t>in</w:t>
      </w:r>
      <w:r w:rsidRPr="00AE70FA">
        <w:t>]{../figure/classifier-exp.pdf}</w:t>
      </w:r>
    </w:p>
    <w:p w14:paraId="375F8196" w14:textId="77777777" w:rsidR="00A83FF4" w:rsidRPr="00AE70FA" w:rsidRDefault="00A83FF4" w:rsidP="00A83FF4">
      <w:pPr>
        <w:pStyle w:val="LaTeX"/>
      </w:pPr>
      <w:r w:rsidRPr="00AE70FA">
        <w:t>\caption{</w:t>
      </w:r>
    </w:p>
    <w:p w14:paraId="65FB2EEE" w14:textId="77777777" w:rsidR="00215E82" w:rsidRPr="00AE70FA" w:rsidRDefault="00215E82" w:rsidP="00A83FF4">
      <w:r w:rsidRPr="00AE70FA">
        <w:t>Comparing gene expression between the two studies.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\label{fig:class-exp}</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\begin{figure}[ht]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ewidth]{../figure/classifier-svm-thuong</w:t>
      </w:r>
      <w:r w:rsidRPr="00AE70FA">
        <w:t>.pdf}</w:t>
      </w:r>
    </w:p>
    <w:p w14:paraId="268D1411" w14:textId="77777777" w:rsidR="00B325F0" w:rsidRPr="00AE70FA" w:rsidRDefault="00B325F0" w:rsidP="00B325F0">
      <w:pPr>
        <w:pStyle w:val="LaTeX"/>
      </w:pPr>
      <w:r w:rsidRPr="00AE70FA">
        <w:t>\caption{</w:t>
      </w:r>
    </w:p>
    <w:p w14:paraId="7092E087" w14:textId="56DE9FED" w:rsidR="006740F9" w:rsidRPr="00AE70FA" w:rsidRDefault="006740F9" w:rsidP="006740F9">
      <w:r w:rsidRPr="00AE70FA">
        <w:t xml:space="preserve">Classifying </w:t>
      </w:r>
      <w:r>
        <w:t>individuals from Thuong et al., 2008</w:t>
      </w:r>
      <w:r w:rsidRPr="00AE70FA">
        <w:t>\cite{</w:t>
      </w:r>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 xml:space="preserve">Fig. \ref{fig:classifier},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Thuong et al., 2008</w:t>
      </w:r>
      <w:r w:rsidR="00250F30" w:rsidRPr="00AE70FA">
        <w:t>\cite{</w:t>
      </w:r>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resistance from the leave-one-out-cross-validation for individuals in the current study. The blue circles represent individuals known to be susceptible to TB, and orange those resistant to TB. The horizontal dashed red line at a probability of 0.75 separates susceptible and resistant individuals. (b) The estimates of predicted probability of TB resistance 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\label{fig:class-svm-thuong</w:t>
      </w:r>
      <w:r w:rsidRPr="00AE70FA">
        <w:t>}</w:t>
      </w:r>
    </w:p>
    <w:p w14:paraId="3C692515" w14:textId="29A21CAE" w:rsidR="00B325F0" w:rsidRPr="00AE70FA" w:rsidRDefault="00B325F0" w:rsidP="00B325F0">
      <w:pPr>
        <w:pStyle w:val="LaTeX"/>
      </w:pPr>
      <w:r w:rsidRPr="00AE70FA">
        <w:t>\end{figure}</w:t>
      </w: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\ref{fig:process}.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“master_mix” is the batch for library preparation (3 total), “rin” is the RNA Integrity Number from the Agilent Bioanalyzer, and “outlier” is a Boolean variable indicating if the sample was identified as an outlier (Supplementary Fig. \ref{fig:outliers}) and removed from the analysis.</w:t>
      </w:r>
      <w:r w:rsidR="008D0961" w:rsidRPr="00AE70FA">
        <w:t xml:space="preserve"> </w:t>
      </w:r>
      <w:r w:rsidRPr="00AE70FA">
        <w:t>(tds)</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\ref{fig:gene</w:t>
      </w:r>
      <w:r w:rsidR="00591DFC" w:rsidRPr="00AE70FA">
        <w:t>})</w:t>
      </w:r>
      <w:r w:rsidRPr="00AE70FA">
        <w:t xml:space="preserve">. Each row is a gene labeled with its Ensembl gene ID. Each column is a sample. Each sample is labeled according to the pattern “x##-status-treatment”, where x is “r” for resistant or “s” for susceptible, ## is the ID number, status is “resist” for resistant or “suscep” for susceptible, and treatment is “noninf” for </w:t>
      </w:r>
      <w:r w:rsidR="008C1751" w:rsidRPr="00AE70FA">
        <w:t>non-infected</w:t>
      </w:r>
      <w:r w:rsidRPr="00AE70FA">
        <w:t xml:space="preserve"> or “infect” for infected. (tds)</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limma (Fig. \ref{fig:limma}). The workbook contains 4 sheets corresponding to the 4 tests performed. “status_ni” is the test between resistant and susceptible individuals in the </w:t>
      </w:r>
      <w:r w:rsidR="008C1751" w:rsidRPr="00AE70FA">
        <w:t>non-infected</w:t>
      </w:r>
      <w:r w:rsidRPr="00AE70FA">
        <w:t xml:space="preserve"> state, “status_ii” is the test between resistant and susceptible individuals in the infected state, “treat_resist” is the test between the </w:t>
      </w:r>
      <w:r w:rsidR="008C1751" w:rsidRPr="00AE70FA">
        <w:t>non-infected</w:t>
      </w:r>
      <w:r w:rsidRPr="00AE70FA">
        <w:t xml:space="preserve"> and infected states for resistant individuals, and “treat_suscep” is the test between the </w:t>
      </w:r>
      <w:r w:rsidR="008C1751" w:rsidRPr="00AE70FA">
        <w:t>non-infected</w:t>
      </w:r>
      <w:r w:rsidRPr="00AE70FA">
        <w:t xml:space="preserve"> and infected states for susceptible individuals. Each sheet has the same columns. “id” is the Ensembl gene ID, “gene” is the gene name, “logFC” is the log fold change from limma, “AveExpr” is the average log expression from limma, “t” is the t-statistic from limma, “P.Value” is the p-value from limma, “adj.P.Val” is the adjusted p-value from limma, “qvalue” is the q-value calculated with adaptive shrinkage, “chr” is the chromosome where the gene is located, “description” is the description of the gene from </w:t>
      </w:r>
      <w:r w:rsidRPr="00AE70FA">
        <w:lastRenderedPageBreak/>
        <w:t>Ensembl, “phenotype” is the associated phenotype(s) assigned my Ensembl, “go_id” is the associated GO term(s) assigned by Ensembl, and “go_description” is the corresponding name(s) of the GO term(s). (xlsx)</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\ref{fig:gwas}). The first sheet “input-data” contains the </w:t>
      </w:r>
      <w:r w:rsidR="00844446">
        <w:t xml:space="preserve">p-values for the GWAS SNP assigned to each gene from each study. </w:t>
      </w:r>
      <w:r w:rsidR="0082223C">
        <w:t>The columns “</w:t>
      </w:r>
      <w:r w:rsidR="0082223C" w:rsidRPr="0082223C">
        <w:t>gwas_p_russia</w:t>
      </w:r>
      <w:r w:rsidR="0082223C">
        <w:t>”, “</w:t>
      </w:r>
      <w:r w:rsidR="0082223C" w:rsidRPr="0082223C">
        <w:t>gwas_p_gambia</w:t>
      </w:r>
      <w:r w:rsidR="0082223C">
        <w:t>”, “</w:t>
      </w:r>
      <w:r w:rsidR="0082223C" w:rsidRPr="0082223C">
        <w:t>gwas_p_ghana</w:t>
      </w:r>
      <w:r w:rsidR="0082223C">
        <w:t>”, “</w:t>
      </w:r>
      <w:r w:rsidR="0082223C" w:rsidRPr="0082223C">
        <w:t>gwas_p_uganda</w:t>
      </w:r>
      <w:r w:rsidR="0082223C">
        <w:t>”, “</w:t>
      </w:r>
      <w:r w:rsidR="0082223C" w:rsidRPr="0082223C">
        <w:t>gwas_p_height</w:t>
      </w:r>
      <w:r w:rsidR="0082223C">
        <w:t>” contain the p-values from the TB susceptibility GWAS in Russia, The Gambia, Ghana, Uganda and Tanzania, and the height GWAS in Europeans, respectively</w:t>
      </w:r>
      <w:r w:rsidRPr="00AE70FA">
        <w:t xml:space="preserve">. The columns </w:t>
      </w:r>
      <w:r w:rsidR="008611A3">
        <w:t>“</w:t>
      </w:r>
      <w:r w:rsidRPr="00AE70FA">
        <w:t>status_ni</w:t>
      </w:r>
      <w:r w:rsidR="008611A3">
        <w:t>”</w:t>
      </w:r>
      <w:r w:rsidRPr="00AE70FA">
        <w:t xml:space="preserve">, </w:t>
      </w:r>
      <w:r w:rsidR="008611A3">
        <w:t>“</w:t>
      </w:r>
      <w:r w:rsidRPr="00AE70FA">
        <w:t>status_ii</w:t>
      </w:r>
      <w:r w:rsidR="008611A3">
        <w:t>”</w:t>
      </w:r>
      <w:r w:rsidRPr="00AE70FA">
        <w:t xml:space="preserve">, </w:t>
      </w:r>
      <w:r w:rsidR="008611A3">
        <w:t>“</w:t>
      </w:r>
      <w:r w:rsidRPr="00AE70FA">
        <w:t>treat_resist</w:t>
      </w:r>
      <w:r w:rsidR="008611A3">
        <w:t>”</w:t>
      </w:r>
      <w:r w:rsidRPr="00AE70FA">
        <w:t xml:space="preserve">, and </w:t>
      </w:r>
      <w:r w:rsidR="008611A3">
        <w:t>“</w:t>
      </w:r>
      <w:r w:rsidRPr="00AE70FA">
        <w:t>treat_suscep</w:t>
      </w:r>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 xml:space="preserve">greater than 2 between resistant and susceptible individuals in the non-infected state (“status_ni”). </w:t>
      </w:r>
      <w:r w:rsidRPr="00AE70FA">
        <w:t>(xlsx)</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35AA188C"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 xml:space="preserve">value less than 0.05 (Fig. \ref{fig:classifier}).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\cite{Barreiro2012}. The column “prob_tb_resist” is the probability of being resistant to TB assigned by the model. (xlsx)</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C4B83C" w14:textId="77777777" w:rsidR="00C57592" w:rsidRDefault="00C57592" w:rsidP="00224E16">
      <w:pPr>
        <w:spacing w:line="240" w:lineRule="auto"/>
      </w:pPr>
      <w:r>
        <w:separator/>
      </w:r>
    </w:p>
  </w:endnote>
  <w:endnote w:type="continuationSeparator" w:id="0">
    <w:p w14:paraId="1E78CFD2" w14:textId="77777777" w:rsidR="00C57592" w:rsidRDefault="00C57592" w:rsidP="00224E16">
      <w:pPr>
        <w:spacing w:line="240" w:lineRule="auto"/>
      </w:pPr>
      <w:r>
        <w:continuationSeparator/>
      </w:r>
    </w:p>
  </w:endnote>
  <w:endnote w:type="continuationNotice" w:id="1">
    <w:p w14:paraId="18D20508" w14:textId="77777777" w:rsidR="00C57592" w:rsidRDefault="00C5759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CC034D">
          <w:rPr>
            <w:noProof/>
          </w:rPr>
          <w:t>31</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76066A" w14:textId="77777777" w:rsidR="00C57592" w:rsidRDefault="00C57592" w:rsidP="00224E16">
      <w:pPr>
        <w:spacing w:line="240" w:lineRule="auto"/>
      </w:pPr>
      <w:r>
        <w:separator/>
      </w:r>
    </w:p>
  </w:footnote>
  <w:footnote w:type="continuationSeparator" w:id="0">
    <w:p w14:paraId="4D695998" w14:textId="77777777" w:rsidR="00C57592" w:rsidRDefault="00C57592" w:rsidP="00224E16">
      <w:pPr>
        <w:spacing w:line="240" w:lineRule="auto"/>
      </w:pPr>
      <w:r>
        <w:continuationSeparator/>
      </w:r>
    </w:p>
  </w:footnote>
  <w:footnote w:type="continuationNotice" w:id="1">
    <w:p w14:paraId="3954CC76" w14:textId="77777777" w:rsidR="00C57592" w:rsidRDefault="00C57592">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2D92"/>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24A4"/>
    <w:rsid w:val="0017589B"/>
    <w:rsid w:val="00176326"/>
    <w:rsid w:val="00180D5B"/>
    <w:rsid w:val="00181D7D"/>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2F50"/>
    <w:rsid w:val="001E4DFE"/>
    <w:rsid w:val="001E624B"/>
    <w:rsid w:val="001F03E0"/>
    <w:rsid w:val="001F3768"/>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6510"/>
    <w:rsid w:val="0024725C"/>
    <w:rsid w:val="00247CF1"/>
    <w:rsid w:val="00250F30"/>
    <w:rsid w:val="00260C91"/>
    <w:rsid w:val="00260F99"/>
    <w:rsid w:val="00262ED2"/>
    <w:rsid w:val="00264CDF"/>
    <w:rsid w:val="00267EDF"/>
    <w:rsid w:val="00270A0B"/>
    <w:rsid w:val="00271127"/>
    <w:rsid w:val="00274F57"/>
    <w:rsid w:val="00283293"/>
    <w:rsid w:val="00283C33"/>
    <w:rsid w:val="0028467D"/>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0C35"/>
    <w:rsid w:val="002E2EA8"/>
    <w:rsid w:val="002E517D"/>
    <w:rsid w:val="002E553E"/>
    <w:rsid w:val="002F6C23"/>
    <w:rsid w:val="002F7B7F"/>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626D"/>
    <w:rsid w:val="0035717E"/>
    <w:rsid w:val="00361D71"/>
    <w:rsid w:val="003662A4"/>
    <w:rsid w:val="00366838"/>
    <w:rsid w:val="00370968"/>
    <w:rsid w:val="00370A5B"/>
    <w:rsid w:val="00371A52"/>
    <w:rsid w:val="0037240C"/>
    <w:rsid w:val="00376917"/>
    <w:rsid w:val="00381890"/>
    <w:rsid w:val="003834B4"/>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2394"/>
    <w:rsid w:val="004C2D5B"/>
    <w:rsid w:val="004C61CC"/>
    <w:rsid w:val="004D469C"/>
    <w:rsid w:val="004E111A"/>
    <w:rsid w:val="004E1C3B"/>
    <w:rsid w:val="004E24F1"/>
    <w:rsid w:val="004E29B3"/>
    <w:rsid w:val="004E3338"/>
    <w:rsid w:val="004E376B"/>
    <w:rsid w:val="004E7490"/>
    <w:rsid w:val="004E74D6"/>
    <w:rsid w:val="004F1D96"/>
    <w:rsid w:val="004F25BC"/>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47D42"/>
    <w:rsid w:val="005518A7"/>
    <w:rsid w:val="00552AAA"/>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D5B"/>
    <w:rsid w:val="005772EF"/>
    <w:rsid w:val="00580AD8"/>
    <w:rsid w:val="00580FF7"/>
    <w:rsid w:val="0058176F"/>
    <w:rsid w:val="00582123"/>
    <w:rsid w:val="00583608"/>
    <w:rsid w:val="00583674"/>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689F"/>
    <w:rsid w:val="00607761"/>
    <w:rsid w:val="006077DE"/>
    <w:rsid w:val="00611E44"/>
    <w:rsid w:val="006132C0"/>
    <w:rsid w:val="006230C4"/>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7C04"/>
    <w:rsid w:val="007517C1"/>
    <w:rsid w:val="007521B2"/>
    <w:rsid w:val="007545D6"/>
    <w:rsid w:val="00754DDA"/>
    <w:rsid w:val="00756628"/>
    <w:rsid w:val="00761BF1"/>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596A"/>
    <w:rsid w:val="007C0301"/>
    <w:rsid w:val="007C0EF3"/>
    <w:rsid w:val="007C3548"/>
    <w:rsid w:val="007C3A12"/>
    <w:rsid w:val="007C3E09"/>
    <w:rsid w:val="007C6A51"/>
    <w:rsid w:val="007C7C77"/>
    <w:rsid w:val="007D0861"/>
    <w:rsid w:val="007D12C7"/>
    <w:rsid w:val="007D1C14"/>
    <w:rsid w:val="007D3AA8"/>
    <w:rsid w:val="007D3C14"/>
    <w:rsid w:val="007D430A"/>
    <w:rsid w:val="007D6425"/>
    <w:rsid w:val="007D73C9"/>
    <w:rsid w:val="007E13C5"/>
    <w:rsid w:val="007E34EF"/>
    <w:rsid w:val="007E498B"/>
    <w:rsid w:val="007E5BCF"/>
    <w:rsid w:val="007F157D"/>
    <w:rsid w:val="007F3F84"/>
    <w:rsid w:val="007F3FDB"/>
    <w:rsid w:val="007F6F73"/>
    <w:rsid w:val="007F7065"/>
    <w:rsid w:val="007F78C1"/>
    <w:rsid w:val="008030F6"/>
    <w:rsid w:val="008043A5"/>
    <w:rsid w:val="00805DBA"/>
    <w:rsid w:val="0080645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4F4C"/>
    <w:rsid w:val="008359C1"/>
    <w:rsid w:val="00835A3F"/>
    <w:rsid w:val="0084233C"/>
    <w:rsid w:val="00843131"/>
    <w:rsid w:val="00844446"/>
    <w:rsid w:val="008463CA"/>
    <w:rsid w:val="0085277A"/>
    <w:rsid w:val="00853960"/>
    <w:rsid w:val="008561C5"/>
    <w:rsid w:val="008566D9"/>
    <w:rsid w:val="00857379"/>
    <w:rsid w:val="008611A3"/>
    <w:rsid w:val="00862F9D"/>
    <w:rsid w:val="00867ED0"/>
    <w:rsid w:val="00885732"/>
    <w:rsid w:val="00885CAA"/>
    <w:rsid w:val="008870E7"/>
    <w:rsid w:val="00887BD1"/>
    <w:rsid w:val="00891A07"/>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2131"/>
    <w:rsid w:val="00A62384"/>
    <w:rsid w:val="00A70383"/>
    <w:rsid w:val="00A73A70"/>
    <w:rsid w:val="00A7661D"/>
    <w:rsid w:val="00A80BC7"/>
    <w:rsid w:val="00A83FF4"/>
    <w:rsid w:val="00A84056"/>
    <w:rsid w:val="00A840AE"/>
    <w:rsid w:val="00A84A8B"/>
    <w:rsid w:val="00A85F35"/>
    <w:rsid w:val="00A8653F"/>
    <w:rsid w:val="00A87E2A"/>
    <w:rsid w:val="00A90A31"/>
    <w:rsid w:val="00A96A24"/>
    <w:rsid w:val="00AA13FE"/>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70FA"/>
    <w:rsid w:val="00AF41AF"/>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6008"/>
    <w:rsid w:val="00BE0B89"/>
    <w:rsid w:val="00BE33DD"/>
    <w:rsid w:val="00BE459A"/>
    <w:rsid w:val="00BE4C30"/>
    <w:rsid w:val="00BF18FF"/>
    <w:rsid w:val="00BF1E7D"/>
    <w:rsid w:val="00BF26B9"/>
    <w:rsid w:val="00C00FBE"/>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37CE"/>
    <w:rsid w:val="00CA5C54"/>
    <w:rsid w:val="00CA7272"/>
    <w:rsid w:val="00CB1336"/>
    <w:rsid w:val="00CB5965"/>
    <w:rsid w:val="00CB78EE"/>
    <w:rsid w:val="00CC034D"/>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56272"/>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34E"/>
    <w:rsid w:val="00ED5AE1"/>
    <w:rsid w:val="00ED6898"/>
    <w:rsid w:val="00EE31FE"/>
    <w:rsid w:val="00EE7222"/>
    <w:rsid w:val="00EE7DC3"/>
    <w:rsid w:val="00EF07A1"/>
    <w:rsid w:val="00EF1ED2"/>
    <w:rsid w:val="00EF20F6"/>
    <w:rsid w:val="00EF7EA1"/>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4BA5"/>
    <w:rsid w:val="00F47329"/>
    <w:rsid w:val="00F529C7"/>
    <w:rsid w:val="00F52C99"/>
    <w:rsid w:val="00F54680"/>
    <w:rsid w:val="00F55ADC"/>
    <w:rsid w:val="00F61731"/>
    <w:rsid w:val="00F63AF5"/>
    <w:rsid w:val="00F6475F"/>
    <w:rsid w:val="00F65D2C"/>
    <w:rsid w:val="00F66378"/>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58F"/>
    <w:rsid w:val="00FA1282"/>
    <w:rsid w:val="00FA1AE0"/>
    <w:rsid w:val="00FA1AF7"/>
    <w:rsid w:val="00FA27F0"/>
    <w:rsid w:val="00FA39D7"/>
    <w:rsid w:val="00FA447C"/>
    <w:rsid w:val="00FA548C"/>
    <w:rsid w:val="00FB3130"/>
    <w:rsid w:val="00FB3DC1"/>
    <w:rsid w:val="00FC0073"/>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FF8DFF99-7250-482C-9575-88CE0A0430D3}">
  <ds:schemaRefs>
    <ds:schemaRef ds:uri="http://schemas.openxmlformats.org/officeDocument/2006/bibliography"/>
  </ds:schemaRefs>
</ds:datastoreItem>
</file>

<file path=customXml/itemProps2.xml><?xml version="1.0" encoding="utf-8"?>
<ds:datastoreItem xmlns:ds="http://schemas.openxmlformats.org/officeDocument/2006/customXml" ds:itemID="{47E9F3C5-26CF-406D-AFC9-6E3E3C10F692}">
  <ds:schemaRefs>
    <ds:schemaRef ds:uri="http://schemas.openxmlformats.org/officeDocument/2006/bibliography"/>
  </ds:schemaRefs>
</ds:datastoreItem>
</file>

<file path=customXml/itemProps3.xml><?xml version="1.0" encoding="utf-8"?>
<ds:datastoreItem xmlns:ds="http://schemas.openxmlformats.org/officeDocument/2006/customXml" ds:itemID="{B7AABF4F-2F2F-4ED3-89EA-7C923DA2D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TotalTime>
  <Pages>40</Pages>
  <Words>9231</Words>
  <Characters>52617</Characters>
  <Application>Microsoft Office Word</Application>
  <DocSecurity>0</DocSecurity>
  <Lines>438</Lines>
  <Paragraphs>123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61725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224</cp:revision>
  <dcterms:created xsi:type="dcterms:W3CDTF">2016-11-08T09:10:00Z</dcterms:created>
  <dcterms:modified xsi:type="dcterms:W3CDTF">2017-01-17T19:46:00Z</dcterms:modified>
</cp:coreProperties>
</file>